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</w:p>
    <w:p>
      <w:pPr>
        <w:widowControl/>
        <w:snapToGrid w:val="0"/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材料科学与工程学院</w:t>
      </w:r>
    </w:p>
    <w:p>
      <w:pPr>
        <w:widowControl/>
        <w:snapToGrid w:val="0"/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  <w:bookmarkStart w:id="2" w:name="_GoBack"/>
      <w:r>
        <w:rPr>
          <w:rFonts w:hint="eastAsia" w:ascii="黑体" w:eastAsia="黑体"/>
          <w:b/>
          <w:sz w:val="32"/>
          <w:szCs w:val="32"/>
        </w:rPr>
        <w:t>硕士研究生</w:t>
      </w:r>
      <w:r>
        <w:rPr>
          <w:rFonts w:ascii="黑体" w:eastAsia="黑体"/>
          <w:b/>
          <w:sz w:val="32"/>
          <w:szCs w:val="32"/>
        </w:rPr>
        <w:t>国家奖学金</w:t>
      </w:r>
      <w:r>
        <w:rPr>
          <w:rFonts w:hint="eastAsia" w:ascii="黑体" w:eastAsia="黑体"/>
          <w:b/>
          <w:sz w:val="32"/>
          <w:szCs w:val="32"/>
        </w:rPr>
        <w:t>评分办法</w:t>
      </w:r>
    </w:p>
    <w:bookmarkEnd w:id="2"/>
    <w:p>
      <w:pPr>
        <w:widowControl/>
        <w:snapToGrid w:val="0"/>
        <w:spacing w:line="360" w:lineRule="auto"/>
        <w:ind w:firstLine="470" w:firstLineChars="196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1.以学习成绩、学术研究情况和综合表现（导师、研究生辅导员及同学等评价）为依据，其中学习成绩以各科平均成绩×40％计算，思想道德素质综合表现满分10分（辅导员本次按基数为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3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分，控制在3-5分和导师5分计算）。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2.学术成绩以入学以来发表的论文、获得专利和奖励为主要依据，其中论文第一署名单位必须为西南交通大学材料科学与工程学院（或材料先进技术教育部重点实验室），导师（或副导师）须为通信作者；专利的权属单位必须是西南交通大学，每篇论文限用一人次（同一篇文章不可多人同时或分次使用），专利在总分控制原则下可拆分到最多两人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3.具体的学术成绩计分细则：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1）入学来以第一作者身份发表的论文，按照中科院分区系统当年（尚未出来按最新值）年度分区，1区16分/篇（根据作者排名第二、三分别加5、1分/篇），2区10分/篇（根据作者排名第二、三分别加2、1分/篇），3区6分/篇（根据作者排名第二加1分/篇），4区4分/篇（限第1作者），EI收录2分/篇（限第1作者），核心期刊1分/篇计分（限第1作者）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注：1）参加会议发表的EI论文不在此计分；</w:t>
      </w:r>
    </w:p>
    <w:p>
      <w:pPr>
        <w:widowControl/>
        <w:snapToGrid w:val="0"/>
        <w:spacing w:line="360" w:lineRule="auto"/>
        <w:ind w:firstLine="960" w:firstLineChars="400"/>
        <w:jc w:val="left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2）申请人为非第一作者的论文奖励限1篇；</w:t>
      </w:r>
    </w:p>
    <w:p>
      <w:pPr>
        <w:widowControl/>
        <w:snapToGrid w:val="0"/>
        <w:spacing w:line="360" w:lineRule="auto"/>
        <w:ind w:firstLine="960" w:firstLineChars="400"/>
        <w:jc w:val="left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3）对本单位（西南交大）共同第一作者的，只认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排序第一作者；与外单位署名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共同第一作者，平分相应加分；</w:t>
      </w:r>
    </w:p>
    <w:p>
      <w:pPr>
        <w:widowControl/>
        <w:snapToGrid w:val="0"/>
        <w:spacing w:line="360" w:lineRule="auto"/>
        <w:ind w:left="922" w:leftChars="439"/>
        <w:jc w:val="left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4）第一作者申报计分全部只计在第一作者名下，只有第一作者是教师的情况下，第二作者才按上述要求计分，或者第一、第二作者是教师的情况下，第三作者才按上述要求计分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（2）实用新型专利授权或申请发明专利公开加2分（由导师在前两名申请者中指定和分配），发明专利授权，总分加8分（由导师在前四名申请者中指定和分配）。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（3）获得科技成果奖励（证书获得者）：获得国家级奖励者，一、二等奖分别按60分和40分/项.人加分；省部级成果奖励：特等、一、二、三等奖分别按40分、30分、20分和10分/项.人加分。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（4）第一作者发表的论文，若影响因子（IF）大于5，另加奖励分（IF-5）*2。硕士入学以来发表论文的SCI论文他人引用加1分/次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（5）境外国际会议加2分，国际会议获奖加3分；境内国际会议由奖助学金工作委员会审定，最高加分2分/人次。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学术成绩总分由上述各项计分累加。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4. 总分等于以上各项分数之和，原则上主要根据该总分排序确定各专业人选，特殊情况由奖助学金工作委员会决定。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5. 获得有重要社会影响或学术意义等申请人者，可优先评选（由奖助学金工作委员会决定）。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6.奖学金总名额70%的指标（四舍五入），按照材料加工、材料科学与工程、生物医学工程的学生人数分配到各专业；其余指标不分专业，择优评选和推荐。</w:t>
      </w:r>
    </w:p>
    <w:p>
      <w:pPr>
        <w:widowControl/>
        <w:snapToGrid w:val="0"/>
        <w:spacing w:line="360" w:lineRule="auto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说明：</w:t>
      </w:r>
    </w:p>
    <w:p>
      <w:pPr>
        <w:widowControl/>
        <w:numPr>
          <w:ilvl w:val="0"/>
          <w:numId w:val="1"/>
        </w:numPr>
        <w:snapToGrid w:val="0"/>
        <w:spacing w:line="360" w:lineRule="auto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证明材料要求</w:t>
      </w:r>
    </w:p>
    <w:p>
      <w:pPr>
        <w:widowControl/>
        <w:snapToGrid w:val="0"/>
        <w:spacing w:line="360" w:lineRule="auto"/>
        <w:ind w:left="480"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发表论文及检索和引用情况、获得专利、获得奖励等各种计（加）分条件须提供完整可靠的依据。论文以公开发表、专利以证书为据（录用通知、专利以授权通知书（公告书）由评奖委员会审定）、奖励以证书、检索和引用等，以有资质的检索报告为依据。</w:t>
      </w:r>
    </w:p>
    <w:p>
      <w:pPr>
        <w:widowControl/>
        <w:numPr>
          <w:ilvl w:val="0"/>
          <w:numId w:val="1"/>
        </w:numPr>
        <w:snapToGrid w:val="0"/>
        <w:spacing w:line="360" w:lineRule="auto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其他</w:t>
      </w:r>
    </w:p>
    <w:p>
      <w:pPr>
        <w:ind w:firstLine="240" w:firstLineChars="10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>（1）期刊论文，不限定发表领域，按照科学院分区，就高不就低，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期刊论文，以接收函作为依据。</w:t>
      </w:r>
      <w:bookmarkStart w:id="0" w:name="OLE_LINK1"/>
      <w:bookmarkStart w:id="1" w:name="OLE_LINK2"/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所有期刊，网上可查询（含Accepted，In press等阶段）即认定正式公开发表；不能提供者，接收函计分按5折计分</w:t>
      </w:r>
      <w:bookmarkEnd w:id="0"/>
      <w:bookmarkEnd w:id="1"/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。</w:t>
      </w:r>
    </w:p>
    <w:p>
      <w:pPr>
        <w:widowControl/>
        <w:snapToGrid w:val="0"/>
        <w:spacing w:line="360" w:lineRule="auto"/>
        <w:ind w:firstLine="240" w:firstLineChars="100"/>
        <w:rPr>
          <w:rFonts w:hint="eastAsia"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（2）在科学研究、应用推广及社会服务中做出突出贡献的学生，由导师及学生提出申请，公示相关材料，学院奖学金评定委员会评定其奖学金等级。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本办法解释权在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材料科学与工程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学院</w:t>
      </w:r>
      <w:r>
        <w:rPr>
          <w:rFonts w:ascii="华文仿宋" w:hAnsi="华文仿宋" w:eastAsia="华文仿宋" w:cs="宋体"/>
          <w:color w:val="000000"/>
          <w:kern w:val="0"/>
          <w:sz w:val="24"/>
        </w:rPr>
        <w:t>。</w:t>
      </w:r>
    </w:p>
    <w:p>
      <w:pPr>
        <w:spacing w:line="440" w:lineRule="exact"/>
        <w:ind w:right="480" w:firstLine="5160" w:firstLineChars="215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>材料科学与工程学院</w:t>
      </w:r>
    </w:p>
    <w:p>
      <w:pPr>
        <w:spacing w:line="440" w:lineRule="exact"/>
        <w:ind w:right="960" w:firstLine="5400" w:firstLineChars="2250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>201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6年07月01日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华文仿宋" w:hAnsi="华文仿宋" w:eastAsia="华文仿宋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736A"/>
    <w:multiLevelType w:val="multilevel"/>
    <w:tmpl w:val="2E5D736A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0AF9"/>
    <w:rsid w:val="39A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2017-07-12T09:11:00Z</dcterms:created>
  <dc:creator>梦</dc:creator>
  <cp:lastModifiedBy>梦</cp:lastModifiedBy>
  <dcterms:modified xsi:type="dcterms:W3CDTF">2017-07-12T09:13:14Z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