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70" w:rsidRDefault="008A6370" w:rsidP="008A6370">
      <w:pPr>
        <w:jc w:val="center"/>
        <w:rPr>
          <w:sz w:val="32"/>
          <w:szCs w:val="32"/>
        </w:rPr>
      </w:pPr>
      <w:r w:rsidRPr="007C0171">
        <w:rPr>
          <w:rFonts w:hint="eastAsia"/>
          <w:sz w:val="32"/>
          <w:szCs w:val="32"/>
        </w:rPr>
        <w:t>201</w:t>
      </w:r>
      <w:r w:rsidR="000037FD">
        <w:rPr>
          <w:sz w:val="32"/>
          <w:szCs w:val="32"/>
        </w:rPr>
        <w:t>4</w:t>
      </w:r>
      <w:r w:rsidR="000037FD">
        <w:rPr>
          <w:rFonts w:hint="eastAsia"/>
          <w:sz w:val="32"/>
          <w:szCs w:val="32"/>
        </w:rPr>
        <w:t>材料科学与工程学院</w:t>
      </w:r>
      <w:r>
        <w:rPr>
          <w:rFonts w:hint="eastAsia"/>
          <w:sz w:val="32"/>
          <w:szCs w:val="32"/>
        </w:rPr>
        <w:t>校友（毕业生）</w:t>
      </w:r>
    </w:p>
    <w:p w:rsidR="008A6370" w:rsidRPr="007C0171" w:rsidRDefault="008A6370" w:rsidP="008A63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座谈会</w:t>
      </w:r>
      <w:r w:rsidRPr="007C0171">
        <w:rPr>
          <w:rFonts w:hint="eastAsia"/>
          <w:sz w:val="32"/>
          <w:szCs w:val="32"/>
        </w:rPr>
        <w:t>会议纪要</w:t>
      </w:r>
    </w:p>
    <w:p w:rsidR="008A6370" w:rsidRDefault="008A6370" w:rsidP="008A6370">
      <w:pPr>
        <w:jc w:val="center"/>
      </w:pPr>
    </w:p>
    <w:p w:rsidR="000037FD" w:rsidRPr="000037FD" w:rsidRDefault="000037FD" w:rsidP="000037FD">
      <w:pPr>
        <w:jc w:val="left"/>
        <w:rPr>
          <w:sz w:val="24"/>
          <w:szCs w:val="24"/>
        </w:rPr>
      </w:pPr>
      <w:r w:rsidRPr="000037FD">
        <w:rPr>
          <w:rFonts w:hint="eastAsia"/>
          <w:sz w:val="24"/>
          <w:szCs w:val="24"/>
        </w:rPr>
        <w:t>会议主题：材料科学与工程学院校友及毕业生座谈会</w:t>
      </w:r>
    </w:p>
    <w:p w:rsidR="000037FD" w:rsidRPr="000037FD" w:rsidRDefault="000037FD" w:rsidP="000037FD">
      <w:pPr>
        <w:jc w:val="left"/>
        <w:rPr>
          <w:sz w:val="24"/>
          <w:szCs w:val="24"/>
        </w:rPr>
      </w:pPr>
      <w:r w:rsidRPr="000037FD">
        <w:rPr>
          <w:rFonts w:hint="eastAsia"/>
          <w:sz w:val="24"/>
          <w:szCs w:val="24"/>
        </w:rPr>
        <w:t>会议地点：九里校区</w:t>
      </w:r>
      <w:r w:rsidRPr="000037FD">
        <w:rPr>
          <w:rFonts w:hint="eastAsia"/>
          <w:sz w:val="24"/>
          <w:szCs w:val="24"/>
        </w:rPr>
        <w:t xml:space="preserve"> </w:t>
      </w:r>
      <w:r w:rsidRPr="000037FD">
        <w:rPr>
          <w:rFonts w:hint="eastAsia"/>
          <w:sz w:val="24"/>
          <w:szCs w:val="24"/>
        </w:rPr>
        <w:t>材料学院会议室</w:t>
      </w:r>
      <w:r w:rsidRPr="000037FD">
        <w:rPr>
          <w:rFonts w:hint="eastAsia"/>
          <w:sz w:val="24"/>
          <w:szCs w:val="24"/>
        </w:rPr>
        <w:t xml:space="preserve"> </w:t>
      </w:r>
      <w:r w:rsidRPr="000037FD">
        <w:rPr>
          <w:rFonts w:hint="eastAsia"/>
          <w:sz w:val="24"/>
          <w:szCs w:val="24"/>
        </w:rPr>
        <w:t>机械馆</w:t>
      </w:r>
      <w:r w:rsidRPr="000037FD">
        <w:rPr>
          <w:rFonts w:hint="eastAsia"/>
          <w:sz w:val="24"/>
          <w:szCs w:val="24"/>
        </w:rPr>
        <w:t>2329</w:t>
      </w:r>
    </w:p>
    <w:p w:rsidR="000037FD" w:rsidRPr="000037FD" w:rsidRDefault="000037FD" w:rsidP="000037FD">
      <w:pPr>
        <w:jc w:val="left"/>
        <w:rPr>
          <w:sz w:val="24"/>
          <w:szCs w:val="24"/>
        </w:rPr>
      </w:pPr>
      <w:r w:rsidRPr="000037FD">
        <w:rPr>
          <w:rFonts w:hint="eastAsia"/>
          <w:sz w:val="24"/>
          <w:szCs w:val="24"/>
        </w:rPr>
        <w:t>会议日期：</w:t>
      </w:r>
      <w:r w:rsidRPr="000037FD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4</w:t>
      </w:r>
      <w:r w:rsidRPr="000037FD">
        <w:rPr>
          <w:rFonts w:hint="eastAsia"/>
          <w:sz w:val="24"/>
          <w:szCs w:val="24"/>
        </w:rPr>
        <w:t>年</w:t>
      </w:r>
      <w:r w:rsidRPr="000037FD">
        <w:rPr>
          <w:rFonts w:hint="eastAsia"/>
          <w:sz w:val="24"/>
          <w:szCs w:val="24"/>
        </w:rPr>
        <w:t>9</w:t>
      </w:r>
      <w:r w:rsidRPr="000037FD">
        <w:rPr>
          <w:rFonts w:hint="eastAsia"/>
          <w:sz w:val="24"/>
          <w:szCs w:val="24"/>
        </w:rPr>
        <w:t>月</w:t>
      </w:r>
      <w:r w:rsidRPr="000037FD">
        <w:rPr>
          <w:rFonts w:hint="eastAsia"/>
          <w:sz w:val="24"/>
          <w:szCs w:val="24"/>
        </w:rPr>
        <w:t>25</w:t>
      </w:r>
      <w:r w:rsidRPr="000037FD">
        <w:rPr>
          <w:rFonts w:hint="eastAsia"/>
          <w:sz w:val="24"/>
          <w:szCs w:val="24"/>
        </w:rPr>
        <w:t>日</w:t>
      </w:r>
      <w:r w:rsidRPr="000037FD">
        <w:rPr>
          <w:rFonts w:hint="eastAsia"/>
          <w:sz w:val="24"/>
          <w:szCs w:val="24"/>
        </w:rPr>
        <w:t>14</w:t>
      </w:r>
      <w:r w:rsidRPr="000037FD">
        <w:rPr>
          <w:rFonts w:hint="eastAsia"/>
          <w:sz w:val="24"/>
          <w:szCs w:val="24"/>
        </w:rPr>
        <w:t>：</w:t>
      </w:r>
      <w:r w:rsidRPr="000037FD">
        <w:rPr>
          <w:rFonts w:hint="eastAsia"/>
          <w:sz w:val="24"/>
          <w:szCs w:val="24"/>
        </w:rPr>
        <w:t>30</w:t>
      </w:r>
    </w:p>
    <w:p w:rsidR="000037FD" w:rsidRPr="000037FD" w:rsidRDefault="000037FD" w:rsidP="000037FD">
      <w:pPr>
        <w:jc w:val="left"/>
        <w:rPr>
          <w:sz w:val="24"/>
          <w:szCs w:val="24"/>
        </w:rPr>
      </w:pPr>
      <w:r w:rsidRPr="000037FD">
        <w:rPr>
          <w:rFonts w:hint="eastAsia"/>
          <w:sz w:val="24"/>
          <w:szCs w:val="24"/>
        </w:rPr>
        <w:t>会议主持：朱旻昊</w:t>
      </w:r>
    </w:p>
    <w:p w:rsidR="008A6370" w:rsidRPr="006B1C90" w:rsidRDefault="000037FD" w:rsidP="000037FD">
      <w:pPr>
        <w:ind w:left="1200" w:hangingChars="500" w:hanging="1200"/>
        <w:jc w:val="left"/>
        <w:rPr>
          <w:sz w:val="24"/>
          <w:szCs w:val="24"/>
        </w:rPr>
      </w:pPr>
      <w:r w:rsidRPr="000037FD">
        <w:rPr>
          <w:rFonts w:hint="eastAsia"/>
          <w:sz w:val="24"/>
          <w:szCs w:val="24"/>
        </w:rPr>
        <w:t>参会人员：见附表</w:t>
      </w:r>
      <w:r w:rsidR="008A6370">
        <w:rPr>
          <w:rFonts w:hint="eastAsia"/>
          <w:sz w:val="24"/>
          <w:szCs w:val="24"/>
        </w:rPr>
        <w:t xml:space="preserve">   </w:t>
      </w:r>
    </w:p>
    <w:p w:rsidR="008A6370" w:rsidRDefault="008A6370" w:rsidP="008A6370">
      <w:pPr>
        <w:ind w:left="1050" w:hangingChars="500" w:hanging="1050"/>
        <w:jc w:val="left"/>
      </w:pPr>
      <w:r>
        <w:rPr>
          <w:rFonts w:hint="eastAsia"/>
        </w:rPr>
        <w:t>会议纪要：</w:t>
      </w:r>
    </w:p>
    <w:p w:rsidR="008A6370" w:rsidRPr="005C739E" w:rsidRDefault="008A6370" w:rsidP="008A6370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hint="eastAsia"/>
        </w:rPr>
        <w:t xml:space="preserve">   </w:t>
      </w:r>
      <w:r w:rsidRPr="005C739E">
        <w:rPr>
          <w:rFonts w:hint="eastAsia"/>
          <w:sz w:val="24"/>
          <w:szCs w:val="24"/>
        </w:rPr>
        <w:t xml:space="preserve"> </w:t>
      </w:r>
      <w:r w:rsidRPr="005C739E">
        <w:rPr>
          <w:rFonts w:ascii="黑体" w:eastAsia="黑体" w:hAnsi="黑体" w:hint="eastAsia"/>
          <w:sz w:val="24"/>
          <w:szCs w:val="24"/>
        </w:rPr>
        <w:t>一、</w:t>
      </w:r>
      <w:r w:rsidR="000037FD">
        <w:rPr>
          <w:rFonts w:ascii="黑体" w:eastAsia="黑体" w:hAnsi="黑体" w:hint="eastAsia"/>
          <w:sz w:val="24"/>
          <w:szCs w:val="24"/>
        </w:rPr>
        <w:t>陈兴莲书记</w:t>
      </w:r>
      <w:r>
        <w:rPr>
          <w:rFonts w:ascii="黑体" w:eastAsia="黑体" w:hAnsi="黑体" w:hint="eastAsia"/>
          <w:sz w:val="24"/>
          <w:szCs w:val="24"/>
        </w:rPr>
        <w:t>向校友</w:t>
      </w:r>
      <w:r w:rsidRPr="005C739E">
        <w:rPr>
          <w:rFonts w:ascii="黑体" w:eastAsia="黑体" w:hAnsi="黑体" w:hint="eastAsia"/>
          <w:sz w:val="24"/>
          <w:szCs w:val="24"/>
        </w:rPr>
        <w:t>致欢迎辞</w:t>
      </w:r>
    </w:p>
    <w:p w:rsidR="008A6370" w:rsidRPr="00715F68" w:rsidRDefault="000037FD" w:rsidP="008A6370">
      <w:pPr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陈兴莲书记</w:t>
      </w:r>
      <w:r w:rsidR="008A6370">
        <w:rPr>
          <w:rFonts w:hint="eastAsia"/>
          <w:sz w:val="24"/>
          <w:szCs w:val="24"/>
        </w:rPr>
        <w:t>对各位校友的到来表示欢迎，就参加</w:t>
      </w:r>
      <w:r>
        <w:rPr>
          <w:rFonts w:hint="eastAsia"/>
          <w:sz w:val="24"/>
          <w:szCs w:val="24"/>
        </w:rPr>
        <w:t>材料科学与工程学院</w:t>
      </w:r>
      <w:r w:rsidR="008A6370">
        <w:rPr>
          <w:rFonts w:hint="eastAsia"/>
          <w:sz w:val="24"/>
          <w:szCs w:val="24"/>
        </w:rPr>
        <w:t>的毕业生座谈会表示感谢，希望各位校友对</w:t>
      </w:r>
      <w:r>
        <w:rPr>
          <w:rFonts w:hint="eastAsia"/>
          <w:sz w:val="24"/>
          <w:szCs w:val="24"/>
        </w:rPr>
        <w:t>材料科学与工程学院</w:t>
      </w:r>
      <w:r w:rsidR="008A6370">
        <w:rPr>
          <w:rFonts w:hint="eastAsia"/>
          <w:sz w:val="24"/>
          <w:szCs w:val="24"/>
        </w:rPr>
        <w:t>的教学科研工作及学生就业进行更大力度的支持。</w:t>
      </w:r>
    </w:p>
    <w:p w:rsidR="008A6370" w:rsidRPr="005C739E" w:rsidRDefault="008A6370" w:rsidP="008A6370">
      <w:pPr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</w:t>
      </w:r>
      <w:r w:rsidRPr="005C739E">
        <w:rPr>
          <w:rFonts w:ascii="黑体" w:eastAsia="黑体" w:hAnsi="黑体" w:hint="eastAsia"/>
          <w:sz w:val="24"/>
          <w:szCs w:val="24"/>
        </w:rPr>
        <w:t>、</w:t>
      </w:r>
      <w:r w:rsidR="000037FD">
        <w:rPr>
          <w:rFonts w:ascii="黑体" w:eastAsia="黑体" w:hAnsi="黑体" w:hint="eastAsia"/>
          <w:sz w:val="24"/>
          <w:szCs w:val="24"/>
        </w:rPr>
        <w:t>朱旻昊</w:t>
      </w:r>
      <w:r w:rsidRPr="005C739E">
        <w:rPr>
          <w:rFonts w:ascii="黑体" w:eastAsia="黑体" w:hAnsi="黑体" w:hint="eastAsia"/>
          <w:sz w:val="24"/>
          <w:szCs w:val="24"/>
        </w:rPr>
        <w:t>院长</w:t>
      </w:r>
      <w:r>
        <w:rPr>
          <w:rFonts w:ascii="黑体" w:eastAsia="黑体" w:hAnsi="黑体" w:hint="eastAsia"/>
          <w:sz w:val="24"/>
          <w:szCs w:val="24"/>
        </w:rPr>
        <w:t>阐述校友和毕业生座谈会的目的和意义</w:t>
      </w:r>
    </w:p>
    <w:p w:rsidR="008A6370" w:rsidRDefault="008A6370" w:rsidP="008A6370">
      <w:pPr>
        <w:ind w:firstLineChars="150" w:firstLine="315"/>
      </w:pPr>
      <w:r>
        <w:rPr>
          <w:rFonts w:hint="eastAsia"/>
        </w:rPr>
        <w:t>1.</w:t>
      </w:r>
      <w:r w:rsidR="000037FD">
        <w:rPr>
          <w:rFonts w:hint="eastAsia"/>
        </w:rPr>
        <w:t>材料</w:t>
      </w:r>
      <w:r>
        <w:rPr>
          <w:rFonts w:hint="eastAsia"/>
        </w:rPr>
        <w:t>学院举行毕业生和校友</w:t>
      </w:r>
      <w:r w:rsidR="003B3A17">
        <w:rPr>
          <w:rFonts w:hint="eastAsia"/>
        </w:rPr>
        <w:t>层面</w:t>
      </w:r>
      <w:r>
        <w:rPr>
          <w:rFonts w:hint="eastAsia"/>
        </w:rPr>
        <w:t>的座谈会已经形成惯例；</w:t>
      </w:r>
    </w:p>
    <w:p w:rsidR="008A6370" w:rsidRPr="00662528" w:rsidRDefault="008A6370" w:rsidP="008A6370">
      <w:pPr>
        <w:ind w:firstLineChars="150" w:firstLine="315"/>
      </w:pPr>
      <w:r>
        <w:rPr>
          <w:rFonts w:hint="eastAsia"/>
        </w:rPr>
        <w:t>2.</w:t>
      </w:r>
      <w:r>
        <w:rPr>
          <w:rFonts w:hint="eastAsia"/>
        </w:rPr>
        <w:t>希望</w:t>
      </w:r>
      <w:r w:rsidR="003A775D">
        <w:rPr>
          <w:rFonts w:hint="eastAsia"/>
        </w:rPr>
        <w:t>校友</w:t>
      </w:r>
      <w:r w:rsidR="003B3A17">
        <w:rPr>
          <w:rFonts w:hint="eastAsia"/>
        </w:rPr>
        <w:t>及</w:t>
      </w:r>
      <w:r w:rsidR="003A775D">
        <w:rPr>
          <w:rFonts w:hint="eastAsia"/>
        </w:rPr>
        <w:t>毕业生</w:t>
      </w:r>
      <w:r>
        <w:rPr>
          <w:rFonts w:hint="eastAsia"/>
        </w:rPr>
        <w:t>座谈会</w:t>
      </w:r>
      <w:r w:rsidR="003A775D">
        <w:rPr>
          <w:rFonts w:hint="eastAsia"/>
        </w:rPr>
        <w:t>能促进</w:t>
      </w:r>
      <w:r>
        <w:rPr>
          <w:rFonts w:hint="eastAsia"/>
        </w:rPr>
        <w:t>教学</w:t>
      </w:r>
      <w:r w:rsidR="003A775D">
        <w:rPr>
          <w:rFonts w:hint="eastAsia"/>
        </w:rPr>
        <w:t>和学生能力的培养</w:t>
      </w:r>
      <w:r w:rsidRPr="00662528">
        <w:rPr>
          <w:rFonts w:hint="eastAsia"/>
        </w:rPr>
        <w:t>；</w:t>
      </w:r>
    </w:p>
    <w:p w:rsidR="008A6370" w:rsidRDefault="008A6370" w:rsidP="008A6370">
      <w:pPr>
        <w:ind w:left="1050" w:hangingChars="500" w:hanging="1050"/>
        <w:jc w:val="left"/>
      </w:pPr>
      <w:r>
        <w:rPr>
          <w:rFonts w:hint="eastAsia"/>
        </w:rPr>
        <w:t xml:space="preserve">   3.</w:t>
      </w:r>
      <w:r>
        <w:rPr>
          <w:rFonts w:hint="eastAsia"/>
        </w:rPr>
        <w:t>希望各位校友</w:t>
      </w:r>
      <w:r w:rsidR="003A775D">
        <w:rPr>
          <w:rFonts w:hint="eastAsia"/>
        </w:rPr>
        <w:t>为</w:t>
      </w:r>
      <w:r>
        <w:rPr>
          <w:rFonts w:hint="eastAsia"/>
        </w:rPr>
        <w:t>毕业生就业提出建议</w:t>
      </w:r>
      <w:r w:rsidR="003B3A17">
        <w:rPr>
          <w:rFonts w:hint="eastAsia"/>
        </w:rPr>
        <w:t>并</w:t>
      </w:r>
      <w:r w:rsidR="003A775D">
        <w:rPr>
          <w:rFonts w:hint="eastAsia"/>
        </w:rPr>
        <w:t>提供支持</w:t>
      </w:r>
      <w:r w:rsidR="003B3A17">
        <w:rPr>
          <w:rFonts w:hint="eastAsia"/>
        </w:rPr>
        <w:t>和帮助</w:t>
      </w:r>
      <w:r>
        <w:rPr>
          <w:rFonts w:hint="eastAsia"/>
        </w:rPr>
        <w:t>；</w:t>
      </w:r>
    </w:p>
    <w:p w:rsidR="008A6370" w:rsidRDefault="008A6370" w:rsidP="008A6370">
      <w:pPr>
        <w:ind w:left="1050" w:hangingChars="500" w:hanging="1050"/>
        <w:jc w:val="left"/>
      </w:pPr>
      <w:r>
        <w:rPr>
          <w:rFonts w:hint="eastAsia"/>
        </w:rPr>
        <w:t xml:space="preserve">   4.</w:t>
      </w:r>
      <w:r>
        <w:rPr>
          <w:rFonts w:hint="eastAsia"/>
        </w:rPr>
        <w:t>希望各位</w:t>
      </w:r>
      <w:r w:rsidR="003A775D">
        <w:rPr>
          <w:rFonts w:hint="eastAsia"/>
        </w:rPr>
        <w:t>毕业生</w:t>
      </w:r>
      <w:r w:rsidR="003B3A17">
        <w:rPr>
          <w:rFonts w:hint="eastAsia"/>
        </w:rPr>
        <w:t>根据</w:t>
      </w:r>
      <w:r>
        <w:rPr>
          <w:rFonts w:hint="eastAsia"/>
        </w:rPr>
        <w:t>用人单位的</w:t>
      </w:r>
      <w:r w:rsidR="003B3A17">
        <w:rPr>
          <w:rFonts w:hint="eastAsia"/>
        </w:rPr>
        <w:t>要求审视</w:t>
      </w:r>
      <w:r w:rsidR="003A775D">
        <w:rPr>
          <w:rFonts w:hint="eastAsia"/>
        </w:rPr>
        <w:t>自己，找出差距。</w:t>
      </w:r>
    </w:p>
    <w:p w:rsidR="008A6370" w:rsidRPr="00715F68" w:rsidRDefault="008A6370" w:rsidP="008A6370">
      <w:pPr>
        <w:ind w:firstLineChars="150" w:firstLine="315"/>
        <w:jc w:val="left"/>
        <w:rPr>
          <w:rFonts w:ascii="黑体" w:eastAsia="黑体" w:hAnsi="黑体"/>
        </w:rPr>
      </w:pPr>
      <w:r w:rsidRPr="00715F68">
        <w:rPr>
          <w:rFonts w:ascii="黑体" w:eastAsia="黑体" w:hAnsi="黑体" w:hint="eastAsia"/>
        </w:rPr>
        <w:t>三、</w:t>
      </w:r>
      <w:r>
        <w:rPr>
          <w:rFonts w:ascii="黑体" w:eastAsia="黑体" w:hAnsi="黑体" w:hint="eastAsia"/>
        </w:rPr>
        <w:t>学院教师、校友和毕业生座谈</w:t>
      </w:r>
      <w:r w:rsidRPr="00715F68">
        <w:rPr>
          <w:rFonts w:ascii="黑体" w:eastAsia="黑体" w:hAnsi="黑体" w:hint="eastAsia"/>
        </w:rPr>
        <w:t>。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在座谈会中各位校友、毕业生和教师代表进行了座谈讨论，其要点如下：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1.</w:t>
      </w:r>
      <w:r>
        <w:rPr>
          <w:rFonts w:hint="eastAsia"/>
        </w:rPr>
        <w:t>企业需要工程</w:t>
      </w:r>
      <w:r w:rsidR="00CA0105">
        <w:rPr>
          <w:rFonts w:hint="eastAsia"/>
        </w:rPr>
        <w:t>技术</w:t>
      </w:r>
      <w:r>
        <w:rPr>
          <w:rFonts w:hint="eastAsia"/>
        </w:rPr>
        <w:t>型人才，</w:t>
      </w:r>
      <w:r w:rsidR="003A775D">
        <w:rPr>
          <w:rFonts w:hint="eastAsia"/>
        </w:rPr>
        <w:t>工程</w:t>
      </w:r>
      <w:r w:rsidR="00CA0105">
        <w:rPr>
          <w:rFonts w:hint="eastAsia"/>
        </w:rPr>
        <w:t>技术型人才的培养需要学校教育，更</w:t>
      </w:r>
      <w:r w:rsidR="003A775D">
        <w:rPr>
          <w:rFonts w:hint="eastAsia"/>
        </w:rPr>
        <w:t>需要到企业</w:t>
      </w:r>
      <w:r w:rsidR="00CA0105">
        <w:rPr>
          <w:rFonts w:hint="eastAsia"/>
        </w:rPr>
        <w:t>实际工作</w:t>
      </w:r>
      <w:r w:rsidR="003A775D">
        <w:rPr>
          <w:rFonts w:hint="eastAsia"/>
        </w:rPr>
        <w:t>中去实训和实习</w:t>
      </w:r>
      <w:r>
        <w:rPr>
          <w:rFonts w:hint="eastAsia"/>
        </w:rPr>
        <w:t>；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2.</w:t>
      </w:r>
      <w:r>
        <w:rPr>
          <w:rFonts w:hint="eastAsia"/>
        </w:rPr>
        <w:t>大学要适应社会</w:t>
      </w:r>
      <w:r w:rsidR="003A775D">
        <w:rPr>
          <w:rFonts w:hint="eastAsia"/>
        </w:rPr>
        <w:t>发展，不断完善自己，主要是综合能力的培养</w:t>
      </w:r>
      <w:r>
        <w:rPr>
          <w:rFonts w:hint="eastAsia"/>
        </w:rPr>
        <w:t>，如管理能力、</w:t>
      </w:r>
      <w:r w:rsidR="00CA0105">
        <w:rPr>
          <w:rFonts w:hint="eastAsia"/>
        </w:rPr>
        <w:t>协调能力等</w:t>
      </w:r>
      <w:r>
        <w:rPr>
          <w:rFonts w:hint="eastAsia"/>
        </w:rPr>
        <w:t>；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3.</w:t>
      </w:r>
      <w:r>
        <w:rPr>
          <w:rFonts w:hint="eastAsia"/>
        </w:rPr>
        <w:t>毕业生</w:t>
      </w:r>
      <w:r w:rsidR="00CA0105">
        <w:rPr>
          <w:rFonts w:hint="eastAsia"/>
        </w:rPr>
        <w:t>在学校所学课程虽多，有些课感觉好像没有实际用处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4.</w:t>
      </w:r>
      <w:r>
        <w:rPr>
          <w:rFonts w:hint="eastAsia"/>
        </w:rPr>
        <w:t>学生希望</w:t>
      </w:r>
      <w:r w:rsidR="000827D4">
        <w:rPr>
          <w:rFonts w:hint="eastAsia"/>
        </w:rPr>
        <w:t>在</w:t>
      </w:r>
      <w:r>
        <w:rPr>
          <w:rFonts w:hint="eastAsia"/>
        </w:rPr>
        <w:t>学校</w:t>
      </w:r>
      <w:r w:rsidR="000827D4">
        <w:rPr>
          <w:rFonts w:hint="eastAsia"/>
        </w:rPr>
        <w:t>能够多接触社会，多接触企业</w:t>
      </w:r>
      <w:r>
        <w:rPr>
          <w:rFonts w:hint="eastAsia"/>
        </w:rPr>
        <w:t>；</w:t>
      </w:r>
    </w:p>
    <w:p w:rsidR="008A6370" w:rsidRDefault="008A6370" w:rsidP="008A6370">
      <w:pPr>
        <w:ind w:firstLineChars="150" w:firstLine="315"/>
        <w:jc w:val="left"/>
      </w:pPr>
      <w:r>
        <w:rPr>
          <w:rFonts w:hint="eastAsia"/>
        </w:rPr>
        <w:t>5</w:t>
      </w:r>
      <w:r w:rsidR="000827D4">
        <w:rPr>
          <w:rFonts w:hint="eastAsia"/>
        </w:rPr>
        <w:t>教师认为青年教师除了专业知识，也应该到企业去培养工程能力</w:t>
      </w:r>
      <w:r>
        <w:rPr>
          <w:rFonts w:hint="eastAsia"/>
        </w:rPr>
        <w:t>。</w:t>
      </w:r>
    </w:p>
    <w:p w:rsidR="008A6370" w:rsidRPr="00D17B2C" w:rsidRDefault="008A6370" w:rsidP="008A6370">
      <w:pPr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 w:rsidRPr="00D17B2C">
        <w:rPr>
          <w:rFonts w:ascii="黑体" w:eastAsia="黑体" w:hAnsi="黑体" w:hint="eastAsia"/>
          <w:bCs/>
          <w:sz w:val="24"/>
          <w:szCs w:val="24"/>
        </w:rPr>
        <w:t>四、</w:t>
      </w:r>
      <w:r>
        <w:rPr>
          <w:rFonts w:ascii="黑体" w:eastAsia="黑体" w:hAnsi="黑体" w:hint="eastAsia"/>
          <w:bCs/>
          <w:sz w:val="24"/>
          <w:szCs w:val="24"/>
        </w:rPr>
        <w:t>总结</w:t>
      </w:r>
    </w:p>
    <w:p w:rsidR="008A6370" w:rsidRDefault="008A6370" w:rsidP="008A6370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）西南交通大学</w:t>
      </w:r>
      <w:r w:rsidR="000037FD">
        <w:rPr>
          <w:rFonts w:hint="eastAsia"/>
        </w:rPr>
        <w:t>材料</w:t>
      </w:r>
      <w:r>
        <w:rPr>
          <w:rFonts w:hint="eastAsia"/>
        </w:rPr>
        <w:t>学院培养的人才总体上符合社会需求；</w:t>
      </w:r>
    </w:p>
    <w:p w:rsidR="008A6370" w:rsidRDefault="008A6370" w:rsidP="008A6370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037FD">
        <w:rPr>
          <w:rFonts w:hint="eastAsia"/>
        </w:rPr>
        <w:t>材料</w:t>
      </w:r>
      <w:r>
        <w:rPr>
          <w:rFonts w:hint="eastAsia"/>
        </w:rPr>
        <w:t>学院</w:t>
      </w:r>
      <w:r w:rsidR="00CA0105">
        <w:rPr>
          <w:rFonts w:hint="eastAsia"/>
        </w:rPr>
        <w:t>在教学过程中需要在动手能力、创新能力方面进一步加强和改进</w:t>
      </w:r>
      <w:r>
        <w:rPr>
          <w:rFonts w:hint="eastAsia"/>
        </w:rPr>
        <w:t>；</w:t>
      </w:r>
    </w:p>
    <w:p w:rsidR="008A6370" w:rsidRDefault="008A6370" w:rsidP="008A6370">
      <w:pPr>
        <w:ind w:firstLine="405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）学生总体上对学院的培养是满意的，但</w:t>
      </w:r>
      <w:r w:rsidR="00CA0105">
        <w:rPr>
          <w:rFonts w:hint="eastAsia"/>
        </w:rPr>
        <w:t>更需</w:t>
      </w:r>
      <w:r w:rsidR="000827D4">
        <w:rPr>
          <w:rFonts w:hint="eastAsia"/>
        </w:rPr>
        <w:t>培养学生</w:t>
      </w:r>
      <w:r w:rsidR="00CA0105">
        <w:rPr>
          <w:rFonts w:hint="eastAsia"/>
        </w:rPr>
        <w:t>适应</w:t>
      </w:r>
      <w:r w:rsidR="000827D4">
        <w:rPr>
          <w:rFonts w:hint="eastAsia"/>
        </w:rPr>
        <w:t>社会的能力。</w:t>
      </w:r>
    </w:p>
    <w:p w:rsidR="008A6370" w:rsidRDefault="008A6370" w:rsidP="008A6370">
      <w:pPr>
        <w:jc w:val="left"/>
      </w:pPr>
    </w:p>
    <w:p w:rsidR="008A6370" w:rsidRPr="00CA0105" w:rsidRDefault="008A6370" w:rsidP="008A6370">
      <w:pPr>
        <w:jc w:val="center"/>
        <w:rPr>
          <w:sz w:val="28"/>
          <w:szCs w:val="28"/>
        </w:rPr>
      </w:pPr>
    </w:p>
    <w:p w:rsidR="008A6370" w:rsidRDefault="008A637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370" w:rsidRDefault="008A6370" w:rsidP="008A6370">
      <w:pPr>
        <w:jc w:val="center"/>
        <w:rPr>
          <w:sz w:val="28"/>
          <w:szCs w:val="28"/>
        </w:rPr>
      </w:pPr>
      <w:r w:rsidRPr="00A34019">
        <w:rPr>
          <w:rFonts w:hint="eastAsia"/>
          <w:sz w:val="28"/>
          <w:szCs w:val="28"/>
        </w:rPr>
        <w:lastRenderedPageBreak/>
        <w:t>201</w:t>
      </w:r>
      <w:r w:rsidR="000037FD">
        <w:rPr>
          <w:sz w:val="28"/>
          <w:szCs w:val="28"/>
        </w:rPr>
        <w:t>4</w:t>
      </w:r>
      <w:r w:rsidR="000037FD">
        <w:rPr>
          <w:rFonts w:hint="eastAsia"/>
          <w:sz w:val="28"/>
          <w:szCs w:val="28"/>
        </w:rPr>
        <w:t>材料科学与工程学院</w:t>
      </w:r>
      <w:r w:rsidRPr="00A34019">
        <w:rPr>
          <w:rFonts w:hint="eastAsia"/>
          <w:sz w:val="28"/>
          <w:szCs w:val="28"/>
        </w:rPr>
        <w:t>校友参会人员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4252"/>
        <w:gridCol w:w="2035"/>
      </w:tblGrid>
      <w:tr w:rsidR="008A6370" w:rsidTr="003F7349">
        <w:tc>
          <w:tcPr>
            <w:tcW w:w="959" w:type="dxa"/>
          </w:tcPr>
          <w:p w:rsidR="008A6370" w:rsidRPr="00A34019" w:rsidRDefault="008A6370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8A6370" w:rsidRPr="00A34019" w:rsidRDefault="008A6370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52" w:type="dxa"/>
          </w:tcPr>
          <w:p w:rsidR="008A6370" w:rsidRPr="00A34019" w:rsidRDefault="008A6370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35" w:type="dxa"/>
          </w:tcPr>
          <w:p w:rsidR="008A6370" w:rsidRPr="00A34019" w:rsidRDefault="008A6370" w:rsidP="00BE2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陈兴莲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 w:rsidR="000037FD" w:rsidTr="003F7349">
        <w:tc>
          <w:tcPr>
            <w:tcW w:w="959" w:type="dxa"/>
          </w:tcPr>
          <w:p w:rsidR="000037FD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37FD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朱旻昊</w:t>
            </w:r>
          </w:p>
        </w:tc>
        <w:tc>
          <w:tcPr>
            <w:tcW w:w="4252" w:type="dxa"/>
          </w:tcPr>
          <w:p w:rsidR="000037FD" w:rsidRDefault="000037FD" w:rsidP="000037F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戈满寿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副书记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林波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中国工程物理研究院</w:t>
            </w:r>
            <w:r>
              <w:rPr>
                <w:rFonts w:hint="eastAsia"/>
                <w:sz w:val="24"/>
                <w:szCs w:val="24"/>
              </w:rPr>
              <w:t>/98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戴晓刚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成都铁路局焊轨车间</w:t>
            </w:r>
            <w:r>
              <w:rPr>
                <w:rFonts w:hint="eastAsia"/>
                <w:sz w:val="24"/>
                <w:szCs w:val="24"/>
              </w:rPr>
              <w:t>/92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汪认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南车青岛四方机车</w:t>
            </w:r>
            <w:r>
              <w:rPr>
                <w:rFonts w:hint="eastAsia"/>
                <w:sz w:val="24"/>
                <w:szCs w:val="24"/>
              </w:rPr>
              <w:t>车辆股份有限公司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0037FD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>庆伟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东方电机</w:t>
            </w:r>
            <w:r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/2002级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 w:rsidRPr="005C73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陈辉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吕其兵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苟国庆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杨涛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朱宗涛</w:t>
            </w:r>
          </w:p>
        </w:tc>
        <w:tc>
          <w:tcPr>
            <w:tcW w:w="4252" w:type="dxa"/>
          </w:tcPr>
          <w:p w:rsidR="000037FD" w:rsidRPr="00A34019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西南交通大学材料科学与工程学院</w:t>
            </w:r>
          </w:p>
        </w:tc>
        <w:tc>
          <w:tcPr>
            <w:tcW w:w="2035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037FD" w:rsidRPr="00E10F0F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徐立栋</w:t>
            </w:r>
          </w:p>
        </w:tc>
        <w:tc>
          <w:tcPr>
            <w:tcW w:w="4252" w:type="dxa"/>
          </w:tcPr>
          <w:p w:rsidR="000037FD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级材料成型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035" w:type="dxa"/>
          </w:tcPr>
          <w:p w:rsidR="000037FD" w:rsidRDefault="000037FD" w:rsidP="000037FD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037FD" w:rsidRPr="00E10F0F" w:rsidRDefault="000037FD" w:rsidP="00003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尹子秋</w:t>
            </w:r>
          </w:p>
        </w:tc>
        <w:tc>
          <w:tcPr>
            <w:tcW w:w="4252" w:type="dxa"/>
          </w:tcPr>
          <w:p w:rsidR="000037FD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级材料成型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035" w:type="dxa"/>
          </w:tcPr>
          <w:p w:rsidR="000037FD" w:rsidRDefault="000037FD" w:rsidP="000037FD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  <w:tr w:rsidR="000037FD" w:rsidRPr="00A34019" w:rsidTr="003F7349">
        <w:tc>
          <w:tcPr>
            <w:tcW w:w="959" w:type="dxa"/>
          </w:tcPr>
          <w:p w:rsidR="000037FD" w:rsidRPr="00A34019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037FD" w:rsidRPr="00E10F0F" w:rsidRDefault="000037FD" w:rsidP="00003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何双</w:t>
            </w:r>
          </w:p>
        </w:tc>
        <w:tc>
          <w:tcPr>
            <w:tcW w:w="4252" w:type="dxa"/>
          </w:tcPr>
          <w:p w:rsidR="000037FD" w:rsidRDefault="000037FD" w:rsidP="000037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级材料成型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035" w:type="dxa"/>
          </w:tcPr>
          <w:p w:rsidR="000037FD" w:rsidRDefault="000037FD" w:rsidP="000037FD">
            <w:pPr>
              <w:jc w:val="center"/>
            </w:pPr>
            <w:r w:rsidRPr="00A3731B">
              <w:rPr>
                <w:rFonts w:hint="eastAsia"/>
                <w:sz w:val="24"/>
                <w:szCs w:val="24"/>
              </w:rPr>
              <w:t>毕业生</w:t>
            </w:r>
          </w:p>
        </w:tc>
      </w:tr>
    </w:tbl>
    <w:p w:rsidR="00493C81" w:rsidRDefault="00493C81"/>
    <w:sectPr w:rsidR="00493C81" w:rsidSect="006F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FD" w:rsidRDefault="00DC1EFD" w:rsidP="008A6370">
      <w:r>
        <w:separator/>
      </w:r>
    </w:p>
  </w:endnote>
  <w:endnote w:type="continuationSeparator" w:id="0">
    <w:p w:rsidR="00DC1EFD" w:rsidRDefault="00DC1EFD" w:rsidP="008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FD" w:rsidRDefault="00DC1EFD" w:rsidP="008A6370">
      <w:r>
        <w:separator/>
      </w:r>
    </w:p>
  </w:footnote>
  <w:footnote w:type="continuationSeparator" w:id="0">
    <w:p w:rsidR="00DC1EFD" w:rsidRDefault="00DC1EFD" w:rsidP="008A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370"/>
    <w:rsid w:val="000037FD"/>
    <w:rsid w:val="00047360"/>
    <w:rsid w:val="000827D4"/>
    <w:rsid w:val="00153C8A"/>
    <w:rsid w:val="001B2D64"/>
    <w:rsid w:val="001D58E0"/>
    <w:rsid w:val="003A775D"/>
    <w:rsid w:val="003B3A17"/>
    <w:rsid w:val="003F7349"/>
    <w:rsid w:val="00493C81"/>
    <w:rsid w:val="006D2899"/>
    <w:rsid w:val="007A2147"/>
    <w:rsid w:val="008A6370"/>
    <w:rsid w:val="008C6C9F"/>
    <w:rsid w:val="0096409F"/>
    <w:rsid w:val="00BA7135"/>
    <w:rsid w:val="00BE6009"/>
    <w:rsid w:val="00CA0105"/>
    <w:rsid w:val="00D551D7"/>
    <w:rsid w:val="00D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B9640"/>
  <w15:docId w15:val="{1CD73029-FDDC-4B94-B2CC-B6381CF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A6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3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370"/>
    <w:rPr>
      <w:sz w:val="18"/>
      <w:szCs w:val="18"/>
    </w:rPr>
  </w:style>
  <w:style w:type="table" w:styleId="a7">
    <w:name w:val="Table Grid"/>
    <w:basedOn w:val="a1"/>
    <w:uiPriority w:val="59"/>
    <w:rsid w:val="008A63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苟国庆</cp:lastModifiedBy>
  <cp:revision>12</cp:revision>
  <dcterms:created xsi:type="dcterms:W3CDTF">2015-03-30T03:29:00Z</dcterms:created>
  <dcterms:modified xsi:type="dcterms:W3CDTF">2016-07-05T07:42:00Z</dcterms:modified>
</cp:coreProperties>
</file>